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98" w:type="pct"/>
        <w:tblInd w:w="0" w:type="dxa"/>
        <w:tblLayout w:type="autofit"/>
        <w:tblCellMar>
          <w:top w:w="0" w:type="dxa"/>
          <w:left w:w="108" w:type="dxa"/>
          <w:bottom w:w="0" w:type="dxa"/>
          <w:right w:w="108" w:type="dxa"/>
        </w:tblCellMar>
      </w:tblPr>
      <w:tblGrid>
        <w:gridCol w:w="734"/>
        <w:gridCol w:w="885"/>
        <w:gridCol w:w="5352"/>
        <w:gridCol w:w="774"/>
        <w:gridCol w:w="774"/>
      </w:tblGrid>
      <w:tr>
        <w:tblPrEx>
          <w:tblCellMar>
            <w:top w:w="0" w:type="dxa"/>
            <w:left w:w="108" w:type="dxa"/>
            <w:bottom w:w="0" w:type="dxa"/>
            <w:right w:w="108" w:type="dxa"/>
          </w:tblCellMar>
        </w:tblPrEx>
        <w:trPr>
          <w:trHeight w:val="799" w:hRule="atLeast"/>
        </w:trPr>
        <w:tc>
          <w:tcPr>
            <w:tcW w:w="431" w:type="pct"/>
            <w:tcBorders>
              <w:top w:val="nil"/>
              <w:left w:val="nil"/>
              <w:bottom w:val="nil"/>
              <w:right w:val="nil"/>
            </w:tcBorders>
            <w:shd w:val="clear" w:color="auto" w:fill="auto"/>
            <w:noWrap/>
            <w:vAlign w:val="center"/>
          </w:tcPr>
          <w:p>
            <w:pPr>
              <w:jc w:val="center"/>
              <w:rPr>
                <w:rFonts w:ascii="宋体" w:hAnsi="宋体" w:eastAsia="宋体" w:cs="宋体"/>
                <w:color w:val="000000"/>
                <w:sz w:val="20"/>
                <w:szCs w:val="20"/>
              </w:rPr>
            </w:pPr>
            <w:bookmarkStart w:id="0" w:name="_GoBack"/>
            <w:bookmarkEnd w:id="0"/>
          </w:p>
        </w:tc>
        <w:tc>
          <w:tcPr>
            <w:tcW w:w="519" w:type="pct"/>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3140" w:type="pct"/>
            <w:tcBorders>
              <w:top w:val="nil"/>
              <w:left w:val="nil"/>
              <w:bottom w:val="nil"/>
              <w:right w:val="nil"/>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“智慧文化课堂”</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电子班牌</w:t>
            </w:r>
          </w:p>
        </w:tc>
        <w:tc>
          <w:tcPr>
            <w:tcW w:w="454" w:type="pct"/>
            <w:tcBorders>
              <w:top w:val="nil"/>
              <w:left w:val="nil"/>
              <w:bottom w:val="nil"/>
              <w:right w:val="nil"/>
            </w:tcBorders>
            <w:shd w:val="clear" w:color="auto" w:fill="auto"/>
            <w:noWrap/>
            <w:vAlign w:val="center"/>
          </w:tcPr>
          <w:p>
            <w:pPr>
              <w:jc w:val="center"/>
              <w:rPr>
                <w:rFonts w:ascii="宋体" w:hAnsi="宋体" w:eastAsia="宋体" w:cs="宋体"/>
                <w:color w:val="000000"/>
                <w:sz w:val="20"/>
                <w:szCs w:val="20"/>
              </w:rPr>
            </w:pPr>
          </w:p>
        </w:tc>
        <w:tc>
          <w:tcPr>
            <w:tcW w:w="454" w:type="pct"/>
            <w:tcBorders>
              <w:top w:val="nil"/>
              <w:left w:val="nil"/>
              <w:bottom w:val="nil"/>
              <w:right w:val="nil"/>
            </w:tcBorders>
            <w:shd w:val="clear" w:color="auto" w:fill="auto"/>
            <w:noWrap/>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702" w:hRule="atLeast"/>
        </w:trPr>
        <w:tc>
          <w:tcPr>
            <w:tcW w:w="431" w:type="pc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hint="eastAsia" w:ascii="宋体" w:hAnsi="宋体" w:eastAsia="宋体" w:cs="宋体"/>
                <w:b/>
                <w:bCs/>
                <w:color w:val="000000"/>
                <w:sz w:val="20"/>
                <w:szCs w:val="20"/>
                <w:lang w:eastAsia="zh-CN"/>
              </w:rPr>
            </w:pPr>
            <w:r>
              <w:rPr>
                <w:rFonts w:hint="eastAsia" w:ascii="宋体" w:hAnsi="宋体" w:eastAsia="宋体" w:cs="宋体"/>
                <w:b/>
                <w:bCs/>
                <w:color w:val="000000"/>
                <w:kern w:val="0"/>
                <w:sz w:val="20"/>
                <w:szCs w:val="20"/>
                <w:lang w:bidi="ar"/>
              </w:rPr>
              <w:t>序</w:t>
            </w:r>
            <w:r>
              <w:rPr>
                <w:rFonts w:hint="eastAsia" w:ascii="宋体" w:hAnsi="宋体" w:eastAsia="宋体" w:cs="宋体"/>
                <w:b/>
                <w:bCs/>
                <w:color w:val="000000"/>
                <w:kern w:val="0"/>
                <w:sz w:val="20"/>
                <w:szCs w:val="20"/>
                <w:lang w:val="en-US" w:eastAsia="zh-CN" w:bidi="ar"/>
              </w:rPr>
              <w:t>号</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31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技术参数</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tblPrEx>
          <w:tblCellMar>
            <w:top w:w="0" w:type="dxa"/>
            <w:left w:w="108" w:type="dxa"/>
            <w:bottom w:w="0" w:type="dxa"/>
            <w:right w:w="108" w:type="dxa"/>
          </w:tblCellMar>
        </w:tblPrEx>
        <w:trPr>
          <w:trHeight w:val="940" w:hRule="atLeast"/>
        </w:trPr>
        <w:tc>
          <w:tcPr>
            <w:tcW w:w="431" w:type="pc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）智慧信息屏</w:t>
            </w:r>
          </w:p>
        </w:tc>
        <w:tc>
          <w:tcPr>
            <w:tcW w:w="3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1.≥21.5寸壁挂 安卓四核2G/16G。</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2</w:t>
            </w:r>
            <w:r>
              <w:rPr>
                <w:rFonts w:hint="eastAsia" w:ascii="宋体" w:hAnsi="宋体" w:eastAsia="宋体" w:cs="宋体"/>
                <w:color w:val="000000"/>
                <w:kern w:val="0"/>
                <w:sz w:val="20"/>
                <w:szCs w:val="20"/>
                <w:lang w:bidi="ar"/>
              </w:rPr>
              <w:t>.分辨率≥1080P、视角液晶面板。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.采用≥10点电容触摸技术。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.该产品边框采用铝边框喷涂工艺。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5</w:t>
            </w:r>
            <w:r>
              <w:rPr>
                <w:rFonts w:hint="eastAsia" w:ascii="宋体" w:hAnsi="宋体" w:eastAsia="宋体" w:cs="宋体"/>
                <w:color w:val="000000"/>
                <w:kern w:val="0"/>
                <w:sz w:val="20"/>
                <w:szCs w:val="20"/>
                <w:lang w:bidi="ar"/>
              </w:rPr>
              <w:t>.高灵敏度的非接触式IC卡感应器及高清摄像头，支持人脸考勤。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6</w:t>
            </w:r>
            <w:r>
              <w:rPr>
                <w:rFonts w:hint="eastAsia" w:ascii="宋体" w:hAnsi="宋体" w:eastAsia="宋体" w:cs="宋体"/>
                <w:color w:val="000000"/>
                <w:kern w:val="0"/>
                <w:sz w:val="20"/>
                <w:szCs w:val="20"/>
                <w:lang w:bidi="ar"/>
              </w:rPr>
              <w:t>.亮度：自动调节，调节范围为250~500cd/㎡</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7</w:t>
            </w:r>
            <w:r>
              <w:rPr>
                <w:rFonts w:hint="eastAsia" w:ascii="宋体" w:hAnsi="宋体" w:eastAsia="宋体" w:cs="宋体"/>
                <w:color w:val="000000"/>
                <w:kern w:val="0"/>
                <w:sz w:val="20"/>
                <w:szCs w:val="20"/>
                <w:lang w:bidi="ar"/>
              </w:rPr>
              <w:t>.采用防炫光设计，室外强光也可看清。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8</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200</w:t>
            </w:r>
            <w:r>
              <w:rPr>
                <w:rFonts w:hint="eastAsia" w:ascii="宋体" w:hAnsi="宋体" w:eastAsia="宋体" w:cs="宋体"/>
                <w:color w:val="000000"/>
                <w:kern w:val="0"/>
                <w:sz w:val="20"/>
                <w:szCs w:val="20"/>
                <w:lang w:bidi="ar"/>
              </w:rPr>
              <w:t>万宽动态摄像头。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9</w:t>
            </w:r>
            <w:r>
              <w:rPr>
                <w:rFonts w:hint="eastAsia" w:ascii="宋体" w:hAnsi="宋体" w:eastAsia="宋体" w:cs="宋体"/>
                <w:color w:val="000000"/>
                <w:kern w:val="0"/>
                <w:sz w:val="20"/>
                <w:szCs w:val="20"/>
                <w:lang w:bidi="ar"/>
              </w:rPr>
              <w:t>.支持</w:t>
            </w:r>
            <w:r>
              <w:rPr>
                <w:rFonts w:hint="eastAsia" w:ascii="宋体" w:hAnsi="宋体" w:eastAsia="宋体" w:cs="宋体"/>
                <w:color w:val="000000"/>
                <w:kern w:val="0"/>
                <w:sz w:val="20"/>
                <w:szCs w:val="20"/>
                <w:lang w:val="en-US" w:eastAsia="zh-CN" w:bidi="ar"/>
              </w:rPr>
              <w:t>RS</w:t>
            </w:r>
            <w:r>
              <w:rPr>
                <w:rFonts w:hint="eastAsia" w:ascii="宋体" w:hAnsi="宋体" w:eastAsia="宋体" w:cs="宋体"/>
                <w:color w:val="000000"/>
                <w:kern w:val="0"/>
                <w:sz w:val="20"/>
                <w:szCs w:val="20"/>
                <w:lang w:bidi="ar"/>
              </w:rPr>
              <w:t>485</w:t>
            </w:r>
            <w:r>
              <w:rPr>
                <w:rFonts w:hint="eastAsia" w:ascii="宋体" w:hAnsi="宋体" w:eastAsia="宋体" w:cs="宋体"/>
                <w:color w:val="000000"/>
                <w:kern w:val="0"/>
                <w:sz w:val="20"/>
                <w:szCs w:val="20"/>
                <w:lang w:val="en-US" w:eastAsia="zh-CN" w:bidi="ar"/>
              </w:rPr>
              <w:t>控制</w:t>
            </w:r>
            <w:r>
              <w:rPr>
                <w:rFonts w:hint="eastAsia" w:ascii="宋体" w:hAnsi="宋体" w:eastAsia="宋体" w:cs="宋体"/>
                <w:color w:val="000000"/>
                <w:kern w:val="0"/>
                <w:sz w:val="20"/>
                <w:szCs w:val="20"/>
                <w:lang w:bidi="ar"/>
              </w:rPr>
              <w:t>，支持门禁功能。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0</w:t>
            </w:r>
            <w:r>
              <w:rPr>
                <w:rFonts w:hint="eastAsia" w:ascii="宋体" w:hAnsi="宋体" w:eastAsia="宋体" w:cs="宋体"/>
                <w:color w:val="000000"/>
                <w:kern w:val="0"/>
                <w:sz w:val="20"/>
                <w:szCs w:val="20"/>
                <w:lang w:bidi="ar"/>
              </w:rPr>
              <w:t>.液晶屏支持工作温度：-20℃~70℃。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r>
      <w:tr>
        <w:tblPrEx>
          <w:tblCellMar>
            <w:top w:w="0" w:type="dxa"/>
            <w:left w:w="108" w:type="dxa"/>
            <w:bottom w:w="0" w:type="dxa"/>
            <w:right w:w="108" w:type="dxa"/>
          </w:tblCellMar>
        </w:tblPrEx>
        <w:trPr>
          <w:trHeight w:val="940" w:hRule="atLeast"/>
        </w:trPr>
        <w:tc>
          <w:tcPr>
            <w:tcW w:w="431" w:type="pc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kern w:val="0"/>
                <w:sz w:val="20"/>
                <w:szCs w:val="20"/>
                <w:lang w:bidi="ar"/>
              </w:rPr>
              <w:t>（项号</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val="en-US" w:eastAsia="zh-CN" w:bidi="ar"/>
              </w:rPr>
              <w:t>控制终端设备</w:t>
            </w:r>
          </w:p>
        </w:tc>
        <w:tc>
          <w:tcPr>
            <w:tcW w:w="3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 支持80个以下终端点位，采用Linux操作系统CentOS 7.0。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 </w:t>
            </w:r>
            <w:r>
              <w:rPr>
                <w:rFonts w:hint="eastAsia" w:ascii="宋体" w:hAnsi="宋体" w:eastAsia="宋体" w:cs="宋体"/>
                <w:color w:val="000000"/>
                <w:kern w:val="0"/>
                <w:sz w:val="20"/>
                <w:szCs w:val="20"/>
                <w:lang w:val="en-US" w:eastAsia="zh-CN" w:bidi="ar"/>
              </w:rPr>
              <w:t>控制终端</w:t>
            </w:r>
            <w:r>
              <w:rPr>
                <w:rFonts w:hint="eastAsia" w:ascii="宋体" w:hAnsi="宋体" w:eastAsia="宋体" w:cs="宋体"/>
                <w:color w:val="000000"/>
                <w:kern w:val="0"/>
                <w:sz w:val="20"/>
                <w:szCs w:val="20"/>
                <w:lang w:bidi="ar"/>
              </w:rPr>
              <w:t>部署灵活，系统支持小规模单机部署和大规模多</w:t>
            </w:r>
            <w:r>
              <w:rPr>
                <w:rFonts w:hint="eastAsia" w:ascii="宋体" w:hAnsi="宋体" w:eastAsia="宋体" w:cs="宋体"/>
                <w:color w:val="000000"/>
                <w:kern w:val="0"/>
                <w:sz w:val="20"/>
                <w:szCs w:val="20"/>
                <w:lang w:val="en-US" w:eastAsia="zh-CN" w:bidi="ar"/>
              </w:rPr>
              <w:t>点</w:t>
            </w:r>
            <w:r>
              <w:rPr>
                <w:rFonts w:hint="eastAsia" w:ascii="宋体" w:hAnsi="宋体" w:eastAsia="宋体" w:cs="宋体"/>
                <w:color w:val="000000"/>
                <w:kern w:val="0"/>
                <w:sz w:val="20"/>
                <w:szCs w:val="20"/>
                <w:lang w:bidi="ar"/>
              </w:rPr>
              <w:t>部署。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 系统后台运行逻辑服务自动部署上报数据库，扩展部署快捷、方便。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 模块化后台服务独立运行，可无限业务扩展。</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 用于终端管理，实现终端与平台间的数据交互。</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 支持发布信息素材缓存，用于与第三方系统对接。</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521" w:hRule="atLeast"/>
        </w:trPr>
        <w:tc>
          <w:tcPr>
            <w:tcW w:w="431" w:type="pc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）平台软件</w:t>
            </w:r>
          </w:p>
        </w:tc>
        <w:tc>
          <w:tcPr>
            <w:tcW w:w="3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1"/>
              </w:numPr>
              <w:jc w:val="left"/>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管理平台采用B/S架构设计，通过网页浏览器登陆的方式进行后台操作，支持云或本地灵活部署，方便管理。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2</w:t>
            </w:r>
            <w:r>
              <w:rPr>
                <w:rFonts w:hint="eastAsia" w:ascii="宋体" w:hAnsi="宋体" w:eastAsia="宋体" w:cs="宋体"/>
                <w:color w:val="000000"/>
                <w:kern w:val="0"/>
                <w:sz w:val="20"/>
                <w:szCs w:val="20"/>
                <w:lang w:bidi="ar"/>
              </w:rPr>
              <w:t>.支持多类型终端的接入，包含：智慧班牌、多媒体终端（话机）、信息发布屏等，可按关键字进行搜索，并对终端批量授权、批量配置、批量远程控制。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3</w:t>
            </w:r>
            <w:r>
              <w:rPr>
                <w:rFonts w:hint="eastAsia" w:ascii="宋体" w:hAnsi="宋体" w:eastAsia="宋体" w:cs="宋体"/>
                <w:color w:val="000000"/>
                <w:kern w:val="0"/>
                <w:sz w:val="20"/>
                <w:szCs w:val="20"/>
                <w:lang w:bidi="ar"/>
              </w:rPr>
              <w:t>.班级相册、班级动态，班主任登入平台进入对应栏目，支持增、删、改、查信息，支持批量上传图片、视频。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4</w:t>
            </w:r>
            <w:r>
              <w:rPr>
                <w:rFonts w:hint="eastAsia" w:ascii="宋体" w:hAnsi="宋体" w:eastAsia="宋体" w:cs="宋体"/>
                <w:color w:val="000000"/>
                <w:kern w:val="0"/>
                <w:sz w:val="20"/>
                <w:szCs w:val="20"/>
                <w:lang w:bidi="ar"/>
              </w:rPr>
              <w:t>. 支持发布校级校园动态、校园风采、班级动态及班级相册，校园动态及校园风采可在全校班牌上查看，班级动态及班级相册仅在本班班牌上显示。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5</w:t>
            </w:r>
            <w:r>
              <w:rPr>
                <w:rFonts w:hint="eastAsia" w:ascii="宋体" w:hAnsi="宋体" w:eastAsia="宋体" w:cs="宋体"/>
                <w:color w:val="000000"/>
                <w:kern w:val="0"/>
                <w:sz w:val="20"/>
                <w:szCs w:val="20"/>
                <w:lang w:bidi="ar"/>
              </w:rPr>
              <w:t>. 模板自定义，老师可配置模板，勾选所需功能模块。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6</w:t>
            </w:r>
            <w:r>
              <w:rPr>
                <w:rFonts w:hint="eastAsia" w:ascii="宋体" w:hAnsi="宋体" w:eastAsia="宋体" w:cs="宋体"/>
                <w:color w:val="000000"/>
                <w:kern w:val="0"/>
                <w:sz w:val="20"/>
                <w:szCs w:val="20"/>
                <w:lang w:bidi="ar"/>
              </w:rPr>
              <w:t>.平台支持基础数据包含：学生、教职工、场地信息等采用标准的Excel表格批量导入，并可按教研组分组管理教职工，按年级、班级管理学生，支持批量导入考勤人员的人脸信息，减轻管理员工作量。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7</w:t>
            </w:r>
            <w:r>
              <w:rPr>
                <w:rFonts w:hint="eastAsia" w:ascii="宋体" w:hAnsi="宋体" w:eastAsia="宋体" w:cs="宋体"/>
                <w:color w:val="000000"/>
                <w:kern w:val="0"/>
                <w:sz w:val="20"/>
                <w:szCs w:val="20"/>
                <w:lang w:bidi="ar"/>
              </w:rPr>
              <w:t>.空间管理添加场地信息，包括所在建筑、场地名称、场所类型、可容纳人数等，支持采用标准化的Excel表格批量添加全校场地信息，实现对教室、实验室、会议室等场地分类管理，提升管理员工作效率。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8</w:t>
            </w:r>
            <w:r>
              <w:rPr>
                <w:rFonts w:hint="eastAsia" w:ascii="宋体" w:hAnsi="宋体" w:eastAsia="宋体" w:cs="宋体"/>
                <w:color w:val="000000"/>
                <w:kern w:val="0"/>
                <w:sz w:val="20"/>
                <w:szCs w:val="20"/>
                <w:lang w:bidi="ar"/>
              </w:rPr>
              <w:t>. 支持传统行政班课表使用标准的Excel表格批量导入，可灵活调整班级课表、教学时间、科目名称等信息。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9</w:t>
            </w:r>
            <w:r>
              <w:rPr>
                <w:rFonts w:hint="eastAsia" w:ascii="宋体" w:hAnsi="宋体" w:eastAsia="宋体" w:cs="宋体"/>
                <w:color w:val="000000"/>
                <w:kern w:val="0"/>
                <w:sz w:val="20"/>
                <w:szCs w:val="20"/>
                <w:lang w:bidi="ar"/>
              </w:rPr>
              <w:t>.考勤配置，支持学生考勤，至少3种考勤规则并可自由选择，平台支持视图形式展现考勤状态，考勤消息推送学生、家长、班主任；平台支持指定考勤人员、考勤地点、考勤模式实现灵活考勤配置，考勤人员可用标准Excel表格导入，可实现包含学生、教研组、不同部门人员考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10</w:t>
            </w:r>
            <w:r>
              <w:rPr>
                <w:rFonts w:hint="eastAsia" w:ascii="宋体" w:hAnsi="宋体" w:eastAsia="宋体" w:cs="宋体"/>
                <w:color w:val="000000"/>
                <w:kern w:val="0"/>
                <w:sz w:val="20"/>
                <w:szCs w:val="20"/>
                <w:lang w:bidi="ar"/>
              </w:rPr>
              <w:t>. 平台支持权限分配和角色自定义，不同权限人员有着不同的功能，开通基础信息权限的管理员可登录管理平台并维护基础信息，开通班牌管理权限的人员可登录平台管理全校班牌设备。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val="en-US" w:eastAsia="zh-CN" w:bidi="ar"/>
              </w:rPr>
              <w:t>11</w:t>
            </w:r>
            <w:r>
              <w:rPr>
                <w:rFonts w:hint="eastAsia" w:ascii="宋体" w:hAnsi="宋体" w:eastAsia="宋体" w:cs="宋体"/>
                <w:color w:val="000000"/>
                <w:kern w:val="0"/>
                <w:sz w:val="20"/>
                <w:szCs w:val="20"/>
                <w:lang w:bidi="ar"/>
              </w:rPr>
              <w:t>.支持场景主题模式切换:场景化设计理念，自适应管理，支持系统会按后台配置的场景主题模式规则自动切换和手动切换场景主题模式；包含校宣模式，班级课前模式，班级课间模式，班级课后模式，会议模式，德育模式等。（投标人须提供功能演示视频佐证，视频以U盘形式在投标截止时间前单独密封提交至代理机构，并在密封袋上注明项目名称、项目编号、投标人名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hint="eastAsia" w:ascii="宋体" w:hAnsi="宋体" w:eastAsia="宋体" w:cs="宋体"/>
                <w:color w:val="000000"/>
                <w:kern w:val="0"/>
                <w:sz w:val="20"/>
                <w:szCs w:val="20"/>
                <w:lang w:val="en-US" w:eastAsia="zh-CN" w:bidi="ar"/>
              </w:rPr>
              <w:t>2</w:t>
            </w:r>
            <w:r>
              <w:rPr>
                <w:rFonts w:hint="eastAsia" w:ascii="宋体" w:hAnsi="宋体" w:eastAsia="宋体" w:cs="宋体"/>
                <w:color w:val="000000"/>
                <w:kern w:val="0"/>
                <w:sz w:val="20"/>
                <w:szCs w:val="20"/>
                <w:lang w:bidi="ar"/>
              </w:rPr>
              <w:t>.日志管理，支持查看设备日志信息，包括运行状态记录、版本升级记录、人脸更新日志、异常日志记录、运维监控记录，便于运维人员远程运维管理。（投标人须提供功能演示视频佐证，视频以U盘形式在投标截止时间前单独密封提交至代理机构，并在密封袋上注明项目名称、项目编号、投标人名称）</w:t>
            </w:r>
          </w:p>
          <w:p>
            <w:pPr>
              <w:widowControl/>
              <w:numPr>
                <w:ilvl w:val="-1"/>
                <w:numId w:val="0"/>
              </w:numPr>
              <w:jc w:val="left"/>
              <w:textAlignment w:val="center"/>
              <w:rPr>
                <w:rFonts w:hint="eastAsia" w:ascii="宋体" w:hAnsi="宋体" w:eastAsia="宋体" w:cs="宋体"/>
                <w:color w:val="FF0000"/>
                <w:kern w:val="0"/>
                <w:sz w:val="20"/>
                <w:szCs w:val="20"/>
              </w:rPr>
            </w:pPr>
            <w:r>
              <w:rPr>
                <w:rFonts w:hint="eastAsia" w:ascii="宋体" w:hAnsi="宋体" w:eastAsia="宋体" w:cs="宋体"/>
                <w:color w:val="FF0000"/>
                <w:kern w:val="0"/>
                <w:sz w:val="20"/>
                <w:szCs w:val="20"/>
                <w:lang w:val="en-US" w:eastAsia="zh-CN"/>
              </w:rPr>
              <w:t>13.</w:t>
            </w:r>
            <w:r>
              <w:rPr>
                <w:rFonts w:hint="eastAsia" w:ascii="宋体" w:hAnsi="宋体" w:eastAsia="宋体" w:cs="宋体"/>
                <w:color w:val="FF0000"/>
                <w:kern w:val="0"/>
                <w:sz w:val="20"/>
                <w:szCs w:val="20"/>
              </w:rPr>
              <w:t>支持防呆机制：设备无人使用时，可自动从上一次用户使用的界面进行监听，非主页展示的页面会自动启用机制，在配置的时间范围内，自动返回到首页。（</w:t>
            </w:r>
            <w:r>
              <w:rPr>
                <w:rFonts w:hint="eastAsia" w:ascii="宋体" w:hAnsi="宋体" w:eastAsia="宋体" w:cs="宋体"/>
                <w:color w:val="000000"/>
                <w:kern w:val="0"/>
                <w:sz w:val="20"/>
                <w:szCs w:val="20"/>
                <w:lang w:bidi="ar"/>
              </w:rPr>
              <w:t>投标人须提供功能截图</w:t>
            </w:r>
            <w:r>
              <w:rPr>
                <w:rFonts w:hint="eastAsia" w:ascii="宋体" w:hAnsi="宋体" w:eastAsia="宋体" w:cs="宋体"/>
                <w:color w:val="FF0000"/>
                <w:kern w:val="0"/>
                <w:sz w:val="20"/>
                <w:szCs w:val="20"/>
              </w:rPr>
              <w:t>）</w:t>
            </w:r>
          </w:p>
          <w:p>
            <w:pPr>
              <w:widowControl/>
              <w:numPr>
                <w:ilvl w:val="-1"/>
                <w:numId w:val="0"/>
              </w:numPr>
              <w:jc w:val="left"/>
              <w:textAlignment w:val="center"/>
              <w:rPr>
                <w:rFonts w:ascii="宋体" w:hAnsi="宋体" w:eastAsia="宋体" w:cs="宋体"/>
                <w:color w:val="000000"/>
                <w:sz w:val="20"/>
                <w:szCs w:val="20"/>
              </w:rPr>
            </w:pPr>
            <w:r>
              <w:rPr>
                <w:rFonts w:hint="eastAsia" w:ascii="宋体" w:hAnsi="宋体" w:eastAsia="宋体" w:cs="宋体"/>
                <w:color w:val="FF0000"/>
                <w:kern w:val="0"/>
                <w:sz w:val="20"/>
                <w:szCs w:val="20"/>
                <w:lang w:val="en-US" w:eastAsia="zh-CN"/>
              </w:rPr>
              <w:t>14.</w:t>
            </w:r>
            <w:r>
              <w:rPr>
                <w:rFonts w:hint="eastAsia" w:ascii="宋体" w:hAnsi="宋体" w:eastAsia="宋体" w:cs="宋体"/>
                <w:color w:val="FF0000"/>
                <w:kern w:val="0"/>
                <w:sz w:val="20"/>
                <w:szCs w:val="20"/>
              </w:rPr>
              <w:t>支持安全管理机制：个人登录账号管理，使用期间登录无需重复登录，登录失效安全管理，可配置失效时间，无人操作后自动失效。（</w:t>
            </w:r>
            <w:r>
              <w:rPr>
                <w:rFonts w:hint="eastAsia" w:ascii="宋体" w:hAnsi="宋体" w:eastAsia="宋体" w:cs="宋体"/>
                <w:color w:val="000000"/>
                <w:kern w:val="0"/>
                <w:sz w:val="20"/>
                <w:szCs w:val="20"/>
                <w:lang w:bidi="ar"/>
              </w:rPr>
              <w:t>投标人须提供功能截图</w:t>
            </w:r>
            <w:r>
              <w:rPr>
                <w:rFonts w:hint="eastAsia" w:ascii="宋体" w:hAnsi="宋体" w:eastAsia="宋体" w:cs="宋体"/>
                <w:color w:val="FF0000"/>
                <w:kern w:val="0"/>
                <w:sz w:val="20"/>
                <w:szCs w:val="20"/>
              </w:rPr>
              <w:t>）</w:t>
            </w:r>
          </w:p>
          <w:p>
            <w:pPr>
              <w:widowControl/>
              <w:numPr>
                <w:ilvl w:val="-1"/>
                <w:numId w:val="0"/>
              </w:numPr>
              <w:jc w:val="left"/>
              <w:textAlignment w:val="center"/>
              <w:rPr>
                <w:rFonts w:ascii="宋体" w:hAnsi="宋体" w:eastAsia="宋体" w:cs="宋体"/>
                <w:color w:val="000000"/>
                <w:sz w:val="20"/>
                <w:szCs w:val="20"/>
              </w:rPr>
            </w:pPr>
            <w:r>
              <w:rPr>
                <w:rFonts w:hint="eastAsia" w:ascii="宋体" w:hAnsi="宋体" w:eastAsia="宋体" w:cs="宋体"/>
                <w:color w:val="FF0000"/>
                <w:kern w:val="0"/>
                <w:sz w:val="20"/>
                <w:szCs w:val="20"/>
                <w:lang w:val="en-US" w:eastAsia="zh-CN"/>
              </w:rPr>
              <w:t>15.</w:t>
            </w:r>
            <w:r>
              <w:rPr>
                <w:rFonts w:hint="eastAsia" w:ascii="宋体" w:hAnsi="宋体" w:eastAsia="宋体" w:cs="宋体"/>
                <w:color w:val="FF0000"/>
                <w:kern w:val="0"/>
                <w:sz w:val="20"/>
                <w:szCs w:val="20"/>
              </w:rPr>
              <w:t>支持第三方自定义链接管理：支持后台配置自定义链接，支持应用中心和首页快捷方式配置；支持登录授权配置。（</w:t>
            </w:r>
            <w:r>
              <w:rPr>
                <w:rFonts w:hint="eastAsia" w:ascii="宋体" w:hAnsi="宋体" w:eastAsia="宋体" w:cs="宋体"/>
                <w:color w:val="000000"/>
                <w:kern w:val="0"/>
                <w:sz w:val="20"/>
                <w:szCs w:val="20"/>
                <w:lang w:bidi="ar"/>
              </w:rPr>
              <w:t>投标人须提供功能截图</w:t>
            </w:r>
            <w:r>
              <w:rPr>
                <w:rFonts w:hint="eastAsia" w:ascii="宋体" w:hAnsi="宋体" w:eastAsia="宋体" w:cs="宋体"/>
                <w:color w:val="FF0000"/>
                <w:kern w:val="0"/>
                <w:sz w:val="20"/>
                <w:szCs w:val="20"/>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940" w:hRule="atLeast"/>
        </w:trPr>
        <w:tc>
          <w:tcPr>
            <w:tcW w:w="431" w:type="pc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）辅材费</w:t>
            </w:r>
          </w:p>
        </w:tc>
        <w:tc>
          <w:tcPr>
            <w:tcW w:w="3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安装电子班牌需要的线材，辅材，电子班牌、固化IP与服务器的连接调式等费用。</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r>
      <w:tr>
        <w:tblPrEx>
          <w:tblCellMar>
            <w:top w:w="0" w:type="dxa"/>
            <w:left w:w="108" w:type="dxa"/>
            <w:bottom w:w="0" w:type="dxa"/>
            <w:right w:w="108" w:type="dxa"/>
          </w:tblCellMar>
        </w:tblPrEx>
        <w:trPr>
          <w:trHeight w:val="94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（项号</w:t>
            </w:r>
            <w:r>
              <w:rPr>
                <w:rFonts w:ascii="宋体" w:hAnsi="宋体" w:eastAsia="宋体" w:cs="宋体"/>
                <w:color w:val="000000"/>
                <w:kern w:val="0"/>
                <w:sz w:val="20"/>
                <w:szCs w:val="20"/>
                <w:lang w:bidi="ar"/>
              </w:rPr>
              <w:t>8</w:t>
            </w:r>
            <w:r>
              <w:rPr>
                <w:rFonts w:hint="eastAsia" w:ascii="宋体" w:hAnsi="宋体" w:eastAsia="宋体" w:cs="宋体"/>
                <w:color w:val="000000"/>
                <w:kern w:val="0"/>
                <w:sz w:val="20"/>
                <w:szCs w:val="20"/>
                <w:lang w:bidi="ar"/>
              </w:rPr>
              <w:t>）软件二次开发辅助</w:t>
            </w:r>
          </w:p>
        </w:tc>
        <w:tc>
          <w:tcPr>
            <w:tcW w:w="31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配合软件方二次开发软件，数据开放及处理。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EF0E6E"/>
    <w:multiLevelType w:val="singleLevel"/>
    <w:tmpl w:val="DEEF0E6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3F38228E"/>
    <w:rsid w:val="001A37E6"/>
    <w:rsid w:val="00375288"/>
    <w:rsid w:val="004C6F86"/>
    <w:rsid w:val="006E554A"/>
    <w:rsid w:val="00A9431C"/>
    <w:rsid w:val="00B115C3"/>
    <w:rsid w:val="00B652C7"/>
    <w:rsid w:val="056B42F1"/>
    <w:rsid w:val="0B571276"/>
    <w:rsid w:val="10074103"/>
    <w:rsid w:val="11ED4279"/>
    <w:rsid w:val="12F95145"/>
    <w:rsid w:val="13FF50BA"/>
    <w:rsid w:val="16887B53"/>
    <w:rsid w:val="1E0C5E3E"/>
    <w:rsid w:val="20D43858"/>
    <w:rsid w:val="22C407E5"/>
    <w:rsid w:val="2BFF0EC6"/>
    <w:rsid w:val="2C0051E4"/>
    <w:rsid w:val="321626E0"/>
    <w:rsid w:val="3D1D63A6"/>
    <w:rsid w:val="3EF14975"/>
    <w:rsid w:val="3F38228E"/>
    <w:rsid w:val="414A39F0"/>
    <w:rsid w:val="43EF44E5"/>
    <w:rsid w:val="57C66BB6"/>
    <w:rsid w:val="5AFF0DCB"/>
    <w:rsid w:val="6102316C"/>
    <w:rsid w:val="6F6303A1"/>
    <w:rsid w:val="72AF7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character" w:styleId="7">
    <w:name w:val="annotation reference"/>
    <w:basedOn w:val="6"/>
    <w:qFormat/>
    <w:uiPriority w:val="0"/>
    <w:rPr>
      <w:sz w:val="21"/>
      <w:szCs w:val="21"/>
    </w:rPr>
  </w:style>
  <w:style w:type="paragraph" w:customStyle="1" w:styleId="8">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9">
    <w:name w:val="页眉 字符"/>
    <w:basedOn w:val="6"/>
    <w:link w:val="4"/>
    <w:qFormat/>
    <w:uiPriority w:val="0"/>
    <w:rPr>
      <w:rFonts w:asciiTheme="minorHAnsi" w:hAnsiTheme="minorHAnsi" w:eastAsiaTheme="minorEastAsia" w:cstheme="minorBidi"/>
      <w:kern w:val="2"/>
      <w:sz w:val="18"/>
      <w:szCs w:val="18"/>
    </w:rPr>
  </w:style>
  <w:style w:type="character" w:customStyle="1" w:styleId="10">
    <w:name w:val="页脚 字符"/>
    <w:basedOn w:val="6"/>
    <w:link w:val="3"/>
    <w:qFormat/>
    <w:uiPriority w:val="0"/>
    <w:rPr>
      <w:rFonts w:asciiTheme="minorHAnsi" w:hAnsiTheme="minorHAnsi" w:eastAsiaTheme="minorEastAsia" w:cstheme="minorBidi"/>
      <w:kern w:val="2"/>
      <w:sz w:val="18"/>
      <w:szCs w:val="18"/>
    </w:rPr>
  </w:style>
  <w:style w:type="paragraph" w:customStyle="1" w:styleId="1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320</Words>
  <Characters>1828</Characters>
  <Lines>15</Lines>
  <Paragraphs>4</Paragraphs>
  <TotalTime>8</TotalTime>
  <ScaleCrop>false</ScaleCrop>
  <LinksUpToDate>false</LinksUpToDate>
  <CharactersWithSpaces>2144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2023-09-13T09:40:00Z</dcterms:created>
  <dc:creator>LENOVO</dc:creator>
  <cp:lastModifiedBy>影</cp:lastModifiedBy>
  <dcterms:modified xsi:type="dcterms:W3CDTF">2023-10-26T02:40:40Z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8E4EA24DFCD94078AA808E108F2CB32D_13</vt:lpwstr>
  </property>
</Properties>
</file>